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STICKY FISH PRE-SCHOOL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PAYMENT OF FEES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bill for fees will be issued at the beginning of each half term .  Fees will not be charged for In-service Training days.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Fees must be paid in advance.  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Payment can be made by cash, bank transfer, or with valid childcare vouchers.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Ideally, payment should be made by bank transfer.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Fees are payable regardless of any absence including illness and holidays.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Sticky Fish Pre-school reserves the right to disallow a child’s place where fees have not been paid upon receipt of a bill.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 half-term’s notice is required for termination of a place.  Fees must therefore be paid for this notice period.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Date agreed:</w:t>
        <w:tab/>
        <w:t xml:space="preserve">Jan 2024 </w:t>
        <w:tab/>
        <w:tab/>
        <w:t xml:space="preserve">Review date:       Jan 2025</w: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Signed:</w:t>
        <w:tab/>
        <w:tab/>
        <w:t xml:space="preserve">E. Tomlinson</w:t>
        <w:tab/>
        <w:tab/>
        <w:t xml:space="preserve">Position:</w:t>
        <w:tab/>
        <w:tab/>
        <w:t xml:space="preserve">Pre-school Manager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